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D6C94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24410"/>
      <w:bookmarkStart w:id="1" w:name="_Toc7019"/>
      <w:bookmarkStart w:id="2" w:name="_Toc22878"/>
      <w:bookmarkStart w:id="3" w:name="_Toc10715"/>
      <w:bookmarkStart w:id="4" w:name="_Toc13822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13C0BCD8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1BD3C11A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1A33D26B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1ECEA5A8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761E9FF7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68A424D5">
      <w:pPr>
        <w:pStyle w:val="12"/>
        <w:spacing w:before="46" w:after="46"/>
        <w:ind w:left="911" w:leftChars="434" w:firstLine="0" w:firstLineChars="0"/>
        <w:rPr>
          <w:rFonts w:hint="eastAsia" w:ascii="仿宋" w:hAnsi="仿宋" w:eastAsia="仿宋" w:cs="宋体"/>
          <w:szCs w:val="28"/>
          <w:u w:val="single"/>
          <w:lang w:val="en-US" w:eastAsia="zh-CN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四川轻化工大学汇东校区13-15栋学生公寓家具维修服务</w:t>
      </w:r>
    </w:p>
    <w:p w14:paraId="27587D75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01A8CE04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16931BBB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007B2EC8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28AB8B2B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6A3F81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70D9D3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F7DA9FD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1C8E5909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0BCF009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7A69C58B"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提供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），营业执照经营范围需包含家具生产、维修等相关技术服务。</w:t>
      </w:r>
    </w:p>
    <w:p w14:paraId="7CD9A63F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格式2：</w:t>
      </w:r>
    </w:p>
    <w:p w14:paraId="144C2FC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55AD45F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1DB63CE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13E843F6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2CFAB0F0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28370D87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4EF8D809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277A0C29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F6ED50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3977AC00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6EBA2A6A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0140DDEB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4B36327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1F851C0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7E5B834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3948585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4C31F7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602E812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2CCE8E7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34C7F26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557F1E9A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8"/>
          <w:szCs w:val="28"/>
        </w:rPr>
        <w:t>函</w:t>
      </w:r>
    </w:p>
    <w:p w14:paraId="455FD1A1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3AF742FA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4600CC48">
      <w:pPr>
        <w:pStyle w:val="2"/>
      </w:pPr>
    </w:p>
    <w:p w14:paraId="7DA9A265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我方全面研究了“</w:t>
      </w:r>
      <w:r>
        <w:rPr>
          <w:rFonts w:hint="eastAsia" w:ascii="仿宋" w:hAnsi="仿宋" w:eastAsia="仿宋" w:cs="宋体"/>
          <w:sz w:val="28"/>
          <w:szCs w:val="28"/>
        </w:rPr>
        <w:t>_____________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”项目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采购公告及采购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文件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，决定参加贵单位组织的本项目采购。我方自愿按照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采购文件规定的各项要求向采购人提供所需货物/服务。</w:t>
      </w:r>
    </w:p>
    <w:p w14:paraId="2B1D264E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一旦我方成交，我方将严格按照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采购文件的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规定的所有要求，向采购人提供所需货物及服务，认真履行合同规定的责任和义务，并按照合同相关规定完成项目。</w:t>
      </w:r>
    </w:p>
    <w:p w14:paraId="4CCF466D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398DA82D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855C549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06F9FBCB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6331AEE7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3C093A6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54AE5681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492E5179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10A7EBE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21EC4FB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EFEF5E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0347004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6C9628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4DAB546D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159DC041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04DAB3EA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562CD460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4D9E7C42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58B5149D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68F09813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7A650BE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70553DE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0F3AB23C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4555AE64">
      <w:pPr>
        <w:spacing w:before="150" w:afterLines="80" w:line="480" w:lineRule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7198FDE1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11D912ED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7AA6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2C29C1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617460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0B15E0F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7014454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2F457FB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8BB7059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ED0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1BC81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16330A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56B2861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23DB7D1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27EB9C7C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93ABB37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F8C3944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FF23137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EFA5DD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6B54E1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73916FC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5A6EFE94">
      <w:pPr>
        <w:spacing w:before="150" w:afterLines="80" w:line="48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2828A32A">
      <w:pPr>
        <w:spacing w:before="150" w:afterLines="80" w:line="480" w:lineRule="auto"/>
        <w:jc w:val="left"/>
        <w:rPr>
          <w:rFonts w:hint="eastAsia" w:ascii="仿宋" w:hAnsi="仿宋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项目名称：四川轻化工大学汇东校区13-15栋学生公寓家具维修服务</w:t>
      </w:r>
    </w:p>
    <w:tbl>
      <w:tblPr>
        <w:tblStyle w:val="6"/>
        <w:tblW w:w="101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18"/>
        <w:gridCol w:w="1149"/>
        <w:gridCol w:w="941"/>
        <w:gridCol w:w="745"/>
        <w:gridCol w:w="1843"/>
        <w:gridCol w:w="247"/>
        <w:gridCol w:w="745"/>
        <w:gridCol w:w="1134"/>
        <w:gridCol w:w="1145"/>
        <w:gridCol w:w="14"/>
      </w:tblGrid>
      <w:tr w14:paraId="1B869C24">
        <w:trPr>
          <w:trHeight w:val="98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30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1CA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服务内容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DE7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1C3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项目指导价格</w:t>
            </w:r>
          </w:p>
        </w:tc>
        <w:tc>
          <w:tcPr>
            <w:tcW w:w="3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DA8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报价（下浮率）</w:t>
            </w:r>
          </w:p>
        </w:tc>
      </w:tr>
      <w:tr w14:paraId="2F2D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590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B0CC">
            <w:pPr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四川轻化工大学汇东校区13-15栋学生公寓家具维修服务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7F5C">
            <w:pPr>
              <w:pStyle w:val="13"/>
              <w:ind w:firstLine="280" w:firstLineChars="100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ascii="仿宋_GB2312" w:hAnsi="仿宋" w:eastAsia="仿宋_GB2312" w:cstheme="minorBidi"/>
                <w:sz w:val="28"/>
                <w:szCs w:val="28"/>
              </w:rPr>
              <w:t>批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469F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详见下表“维修项目指导价格”</w:t>
            </w:r>
          </w:p>
        </w:tc>
        <w:tc>
          <w:tcPr>
            <w:tcW w:w="3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322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14:paraId="1FF2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995D12">
            <w:pPr>
              <w:widowControl/>
              <w:jc w:val="center"/>
              <w:textAlignment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说明</w:t>
            </w:r>
          </w:p>
        </w:tc>
        <w:tc>
          <w:tcPr>
            <w:tcW w:w="9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23324A">
            <w:pPr>
              <w:pStyle w:val="13"/>
              <w:numPr>
                <w:ilvl w:val="0"/>
                <w:numId w:val="0"/>
              </w:numPr>
              <w:ind w:leftChars="0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本次采购项目内容为对四川轻化工大学汇东校区13-15栋家具进行维修。</w:t>
            </w:r>
          </w:p>
          <w:p w14:paraId="2B8A0820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2、本项目采用总额控制，按维修单项价格指导价*(1-下浮率)*实际维修工作量按实结算。</w:t>
            </w:r>
            <w:r>
              <w:rPr>
                <w:rFonts w:ascii="仿宋_GB2312" w:hAnsi="仿宋" w:eastAsia="仿宋_GB2312" w:cstheme="minorBidi"/>
                <w:sz w:val="28"/>
                <w:szCs w:val="28"/>
              </w:rPr>
              <w:t xml:space="preserve"> </w:t>
            </w:r>
          </w:p>
          <w:p w14:paraId="34D9C505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3、工期10天（以采购人通知进场时间开始计算），质保期1年，质保期内出现非恶意破坏性的维修质量问题，由供应商在2小时内进行现场勘察，并迅速作出响应，进行免费维修。</w:t>
            </w:r>
          </w:p>
          <w:p w14:paraId="4DB82A2B">
            <w:pPr>
              <w:rPr>
                <w:rFonts w:hint="eastAsia"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4、本项目单价为包干价，报价包含维修所用材料、人工、运输、税费等所有费用。</w:t>
            </w:r>
          </w:p>
          <w:p w14:paraId="4372E769">
            <w:pPr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5、结算金额达到8万元或者合同签订时间之日起15天</w:t>
            </w:r>
            <w:r>
              <w:rPr>
                <w:rFonts w:hint="eastAsia" w:ascii="仿宋_GB2312" w:hAnsi="仿宋" w:eastAsia="仿宋_GB2312" w:cstheme="minorBidi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任一条件达到，合同即刻终止。</w:t>
            </w:r>
            <w:bookmarkStart w:id="5" w:name="_GoBack"/>
            <w:bookmarkEnd w:id="5"/>
          </w:p>
        </w:tc>
      </w:tr>
      <w:tr w14:paraId="2260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17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20AD">
            <w:pPr>
              <w:pStyle w:val="13"/>
              <w:ind w:firstLineChars="0"/>
              <w:jc w:val="center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维修项目指导价格</w:t>
            </w:r>
          </w:p>
        </w:tc>
      </w:tr>
      <w:tr w14:paraId="3A06C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25" w:hRule="atLeast"/>
          <w:jc w:val="center"/>
        </w:trPr>
        <w:tc>
          <w:tcPr>
            <w:tcW w:w="791" w:type="dxa"/>
            <w:vAlign w:val="center"/>
          </w:tcPr>
          <w:p w14:paraId="04220372">
            <w:pPr>
              <w:pStyle w:val="14"/>
              <w:spacing w:before="108" w:line="231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3"/>
              </w:rPr>
              <w:t>序号</w:t>
            </w:r>
          </w:p>
        </w:tc>
        <w:tc>
          <w:tcPr>
            <w:tcW w:w="1418" w:type="dxa"/>
            <w:vAlign w:val="center"/>
          </w:tcPr>
          <w:p w14:paraId="47858EFB">
            <w:pPr>
              <w:pStyle w:val="14"/>
              <w:spacing w:before="109" w:line="229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2"/>
              </w:rPr>
              <w:t>家具名称</w:t>
            </w:r>
          </w:p>
        </w:tc>
        <w:tc>
          <w:tcPr>
            <w:tcW w:w="2835" w:type="dxa"/>
            <w:gridSpan w:val="3"/>
            <w:vAlign w:val="center"/>
          </w:tcPr>
          <w:p w14:paraId="4227A451">
            <w:pPr>
              <w:pStyle w:val="14"/>
              <w:spacing w:before="108" w:line="231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7"/>
                <w:lang w:eastAsia="zh-CN"/>
              </w:rPr>
              <w:t>维修部位</w:t>
            </w:r>
          </w:p>
        </w:tc>
        <w:tc>
          <w:tcPr>
            <w:tcW w:w="1843" w:type="dxa"/>
            <w:vAlign w:val="center"/>
          </w:tcPr>
          <w:p w14:paraId="65E93540">
            <w:pPr>
              <w:pStyle w:val="14"/>
              <w:spacing w:before="108" w:line="231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维修方式</w:t>
            </w:r>
          </w:p>
        </w:tc>
        <w:tc>
          <w:tcPr>
            <w:tcW w:w="992" w:type="dxa"/>
            <w:gridSpan w:val="2"/>
            <w:vAlign w:val="center"/>
          </w:tcPr>
          <w:p w14:paraId="272D5E6F">
            <w:pPr>
              <w:pStyle w:val="14"/>
              <w:spacing w:before="109" w:line="229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1"/>
              </w:rPr>
              <w:t>单位</w:t>
            </w:r>
          </w:p>
        </w:tc>
        <w:tc>
          <w:tcPr>
            <w:tcW w:w="1134" w:type="dxa"/>
            <w:vAlign w:val="center"/>
          </w:tcPr>
          <w:p w14:paraId="6EAFAEB9">
            <w:pPr>
              <w:pStyle w:val="14"/>
              <w:spacing w:before="108" w:line="231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6"/>
              </w:rPr>
              <w:t>预计量</w:t>
            </w:r>
          </w:p>
        </w:tc>
        <w:tc>
          <w:tcPr>
            <w:tcW w:w="1145" w:type="dxa"/>
            <w:vAlign w:val="center"/>
          </w:tcPr>
          <w:p w14:paraId="6AE878F2">
            <w:pPr>
              <w:pStyle w:val="14"/>
              <w:spacing w:before="108" w:line="232" w:lineRule="auto"/>
              <w:ind w:left="121"/>
              <w:jc w:val="center"/>
              <w:rPr>
                <w:rFonts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4"/>
                <w:lang w:eastAsia="zh-CN"/>
              </w:rPr>
              <w:t>指导</w:t>
            </w:r>
            <w:r>
              <w:rPr>
                <w:rFonts w:hint="eastAsia" w:ascii="仿宋_GB2312" w:eastAsia="仿宋_GB2312"/>
                <w:b/>
                <w:spacing w:val="4"/>
              </w:rPr>
              <w:t>单价(元)</w:t>
            </w:r>
          </w:p>
        </w:tc>
      </w:tr>
      <w:tr w14:paraId="434B1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restart"/>
            <w:vAlign w:val="center"/>
          </w:tcPr>
          <w:p w14:paraId="50230D64">
            <w:pPr>
              <w:pStyle w:val="14"/>
              <w:spacing w:before="158" w:line="187" w:lineRule="auto"/>
              <w:ind w:left="32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D8F1F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床</w:t>
            </w:r>
          </w:p>
        </w:tc>
        <w:tc>
          <w:tcPr>
            <w:tcW w:w="2835" w:type="dxa"/>
            <w:gridSpan w:val="3"/>
          </w:tcPr>
          <w:p w14:paraId="5E78EE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爬梯</w:t>
            </w:r>
          </w:p>
        </w:tc>
        <w:tc>
          <w:tcPr>
            <w:tcW w:w="1843" w:type="dxa"/>
          </w:tcPr>
          <w:p w14:paraId="419ED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加固</w:t>
            </w:r>
          </w:p>
        </w:tc>
        <w:tc>
          <w:tcPr>
            <w:tcW w:w="992" w:type="dxa"/>
            <w:gridSpan w:val="2"/>
          </w:tcPr>
          <w:p w14:paraId="3AC53E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34" w:type="dxa"/>
          </w:tcPr>
          <w:p w14:paraId="12AC2B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45" w:type="dxa"/>
          </w:tcPr>
          <w:p w14:paraId="175DD5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</w:tr>
      <w:tr w14:paraId="7D253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6A1D249F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A6632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</w:tcPr>
          <w:p w14:paraId="755BAF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床板</w:t>
            </w:r>
          </w:p>
        </w:tc>
        <w:tc>
          <w:tcPr>
            <w:tcW w:w="1843" w:type="dxa"/>
          </w:tcPr>
          <w:p w14:paraId="42E876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补充</w:t>
            </w:r>
          </w:p>
        </w:tc>
        <w:tc>
          <w:tcPr>
            <w:tcW w:w="992" w:type="dxa"/>
            <w:gridSpan w:val="2"/>
          </w:tcPr>
          <w:p w14:paraId="23F176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</w:t>
            </w:r>
          </w:p>
        </w:tc>
        <w:tc>
          <w:tcPr>
            <w:tcW w:w="1134" w:type="dxa"/>
          </w:tcPr>
          <w:p w14:paraId="7FF638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45" w:type="dxa"/>
          </w:tcPr>
          <w:p w14:paraId="493197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</w:tr>
      <w:tr w14:paraId="01733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restart"/>
            <w:vAlign w:val="center"/>
          </w:tcPr>
          <w:p w14:paraId="311E0922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C8F9F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书桌</w:t>
            </w:r>
          </w:p>
        </w:tc>
        <w:tc>
          <w:tcPr>
            <w:tcW w:w="2835" w:type="dxa"/>
            <w:gridSpan w:val="3"/>
            <w:vAlign w:val="center"/>
          </w:tcPr>
          <w:p w14:paraId="2DF126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锁扣</w:t>
            </w:r>
          </w:p>
        </w:tc>
        <w:tc>
          <w:tcPr>
            <w:tcW w:w="1843" w:type="dxa"/>
            <w:vAlign w:val="center"/>
          </w:tcPr>
          <w:p w14:paraId="40479A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</w:t>
            </w:r>
          </w:p>
        </w:tc>
        <w:tc>
          <w:tcPr>
            <w:tcW w:w="992" w:type="dxa"/>
            <w:gridSpan w:val="2"/>
            <w:vAlign w:val="center"/>
          </w:tcPr>
          <w:p w14:paraId="429342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134" w:type="dxa"/>
            <w:vAlign w:val="center"/>
          </w:tcPr>
          <w:p w14:paraId="0F8720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</w:t>
            </w:r>
          </w:p>
        </w:tc>
        <w:tc>
          <w:tcPr>
            <w:tcW w:w="1145" w:type="dxa"/>
            <w:vAlign w:val="center"/>
          </w:tcPr>
          <w:p w14:paraId="62462B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7.2</w:t>
            </w:r>
          </w:p>
        </w:tc>
      </w:tr>
      <w:tr w14:paraId="23FDE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7C2C906C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590A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67AA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拉手</w:t>
            </w:r>
          </w:p>
        </w:tc>
        <w:tc>
          <w:tcPr>
            <w:tcW w:w="1843" w:type="dxa"/>
            <w:vAlign w:val="center"/>
          </w:tcPr>
          <w:p w14:paraId="53E38E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</w:t>
            </w:r>
          </w:p>
        </w:tc>
        <w:tc>
          <w:tcPr>
            <w:tcW w:w="992" w:type="dxa"/>
            <w:gridSpan w:val="2"/>
            <w:vAlign w:val="center"/>
          </w:tcPr>
          <w:p w14:paraId="6856CB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34" w:type="dxa"/>
            <w:vAlign w:val="center"/>
          </w:tcPr>
          <w:p w14:paraId="75BD9B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4FA25E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3.6</w:t>
            </w:r>
          </w:p>
        </w:tc>
      </w:tr>
      <w:tr w14:paraId="1AFF1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4CC4327F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8F725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0BA62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抽屉滑轨</w:t>
            </w:r>
          </w:p>
        </w:tc>
        <w:tc>
          <w:tcPr>
            <w:tcW w:w="1843" w:type="dxa"/>
            <w:vAlign w:val="center"/>
          </w:tcPr>
          <w:p w14:paraId="30AB21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</w:t>
            </w:r>
          </w:p>
        </w:tc>
        <w:tc>
          <w:tcPr>
            <w:tcW w:w="992" w:type="dxa"/>
            <w:gridSpan w:val="2"/>
            <w:vAlign w:val="center"/>
          </w:tcPr>
          <w:p w14:paraId="53FDB4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134" w:type="dxa"/>
            <w:vAlign w:val="center"/>
          </w:tcPr>
          <w:p w14:paraId="7BE814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253</w:t>
            </w:r>
          </w:p>
        </w:tc>
        <w:tc>
          <w:tcPr>
            <w:tcW w:w="1145" w:type="dxa"/>
            <w:vAlign w:val="center"/>
          </w:tcPr>
          <w:p w14:paraId="7E5847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</w:tr>
      <w:tr w14:paraId="2994E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0D7F7051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FCC0F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E3301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下柜门连杆及塑料件</w:t>
            </w:r>
          </w:p>
        </w:tc>
        <w:tc>
          <w:tcPr>
            <w:tcW w:w="1843" w:type="dxa"/>
            <w:vAlign w:val="center"/>
          </w:tcPr>
          <w:p w14:paraId="685944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更换配件和调整</w:t>
            </w:r>
          </w:p>
        </w:tc>
        <w:tc>
          <w:tcPr>
            <w:tcW w:w="992" w:type="dxa"/>
            <w:gridSpan w:val="2"/>
            <w:vAlign w:val="center"/>
          </w:tcPr>
          <w:p w14:paraId="3BB645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0F2DCD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146</w:t>
            </w:r>
          </w:p>
        </w:tc>
        <w:tc>
          <w:tcPr>
            <w:tcW w:w="1145" w:type="dxa"/>
            <w:vAlign w:val="center"/>
          </w:tcPr>
          <w:p w14:paraId="0EF769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9.6</w:t>
            </w:r>
          </w:p>
        </w:tc>
      </w:tr>
      <w:tr w14:paraId="5B2F9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491C9DA2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17B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15640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螺丝</w:t>
            </w:r>
          </w:p>
        </w:tc>
        <w:tc>
          <w:tcPr>
            <w:tcW w:w="1843" w:type="dxa"/>
            <w:vAlign w:val="center"/>
          </w:tcPr>
          <w:p w14:paraId="2B519D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加固</w:t>
            </w:r>
          </w:p>
        </w:tc>
        <w:tc>
          <w:tcPr>
            <w:tcW w:w="992" w:type="dxa"/>
            <w:gridSpan w:val="2"/>
            <w:vAlign w:val="center"/>
          </w:tcPr>
          <w:p w14:paraId="67EAF1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袋</w:t>
            </w:r>
          </w:p>
        </w:tc>
        <w:tc>
          <w:tcPr>
            <w:tcW w:w="1134" w:type="dxa"/>
            <w:vAlign w:val="center"/>
          </w:tcPr>
          <w:p w14:paraId="4BCADF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145" w:type="dxa"/>
            <w:vAlign w:val="center"/>
          </w:tcPr>
          <w:p w14:paraId="24234D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</w:tr>
      <w:tr w14:paraId="0A475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Align w:val="center"/>
          </w:tcPr>
          <w:p w14:paraId="1C3E10CC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0C1917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椅子</w:t>
            </w:r>
          </w:p>
        </w:tc>
        <w:tc>
          <w:tcPr>
            <w:tcW w:w="2835" w:type="dxa"/>
            <w:gridSpan w:val="3"/>
          </w:tcPr>
          <w:p w14:paraId="32BF76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座板</w:t>
            </w:r>
          </w:p>
        </w:tc>
        <w:tc>
          <w:tcPr>
            <w:tcW w:w="1843" w:type="dxa"/>
          </w:tcPr>
          <w:p w14:paraId="5CBCB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</w:t>
            </w:r>
          </w:p>
        </w:tc>
        <w:tc>
          <w:tcPr>
            <w:tcW w:w="992" w:type="dxa"/>
            <w:gridSpan w:val="2"/>
          </w:tcPr>
          <w:p w14:paraId="07C82C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</w:t>
            </w:r>
          </w:p>
        </w:tc>
        <w:tc>
          <w:tcPr>
            <w:tcW w:w="1134" w:type="dxa"/>
          </w:tcPr>
          <w:p w14:paraId="260AB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145" w:type="dxa"/>
          </w:tcPr>
          <w:p w14:paraId="281AED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</w:tr>
      <w:tr w14:paraId="40369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restart"/>
            <w:vAlign w:val="center"/>
          </w:tcPr>
          <w:p w14:paraId="7223C201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4E080C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衣柜</w:t>
            </w:r>
          </w:p>
        </w:tc>
        <w:tc>
          <w:tcPr>
            <w:tcW w:w="2835" w:type="dxa"/>
            <w:gridSpan w:val="3"/>
            <w:vAlign w:val="center"/>
          </w:tcPr>
          <w:p w14:paraId="58313C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锁扣</w:t>
            </w:r>
          </w:p>
        </w:tc>
        <w:tc>
          <w:tcPr>
            <w:tcW w:w="1843" w:type="dxa"/>
            <w:vAlign w:val="center"/>
          </w:tcPr>
          <w:p w14:paraId="5477DE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</w:t>
            </w:r>
          </w:p>
        </w:tc>
        <w:tc>
          <w:tcPr>
            <w:tcW w:w="992" w:type="dxa"/>
            <w:gridSpan w:val="2"/>
            <w:vAlign w:val="center"/>
          </w:tcPr>
          <w:p w14:paraId="24E681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134" w:type="dxa"/>
            <w:vAlign w:val="center"/>
          </w:tcPr>
          <w:p w14:paraId="29C709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145" w:type="dxa"/>
            <w:vAlign w:val="center"/>
          </w:tcPr>
          <w:p w14:paraId="23F3FC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7.2</w:t>
            </w:r>
          </w:p>
        </w:tc>
      </w:tr>
      <w:tr w14:paraId="0F41B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1388A637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46B09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6BD95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拉手</w:t>
            </w:r>
          </w:p>
        </w:tc>
        <w:tc>
          <w:tcPr>
            <w:tcW w:w="1843" w:type="dxa"/>
            <w:vAlign w:val="center"/>
          </w:tcPr>
          <w:p w14:paraId="7F0C32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</w:t>
            </w:r>
          </w:p>
        </w:tc>
        <w:tc>
          <w:tcPr>
            <w:tcW w:w="992" w:type="dxa"/>
            <w:gridSpan w:val="2"/>
            <w:vAlign w:val="center"/>
          </w:tcPr>
          <w:p w14:paraId="38EC61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34" w:type="dxa"/>
            <w:vAlign w:val="center"/>
          </w:tcPr>
          <w:p w14:paraId="18939B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06AE08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3.6</w:t>
            </w:r>
          </w:p>
        </w:tc>
      </w:tr>
      <w:tr w14:paraId="637C2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49" w:hRule="atLeast"/>
          <w:jc w:val="center"/>
        </w:trPr>
        <w:tc>
          <w:tcPr>
            <w:tcW w:w="791" w:type="dxa"/>
            <w:vMerge w:val="continue"/>
            <w:vAlign w:val="center"/>
          </w:tcPr>
          <w:p w14:paraId="43DB557F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165B8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6FA7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衣柜门连杆及塑料件</w:t>
            </w:r>
          </w:p>
        </w:tc>
        <w:tc>
          <w:tcPr>
            <w:tcW w:w="1843" w:type="dxa"/>
            <w:vAlign w:val="center"/>
          </w:tcPr>
          <w:p w14:paraId="13CB3F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更换配件和调整</w:t>
            </w:r>
          </w:p>
        </w:tc>
        <w:tc>
          <w:tcPr>
            <w:tcW w:w="992" w:type="dxa"/>
            <w:gridSpan w:val="2"/>
            <w:vAlign w:val="center"/>
          </w:tcPr>
          <w:p w14:paraId="00F278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238176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109</w:t>
            </w:r>
          </w:p>
        </w:tc>
        <w:tc>
          <w:tcPr>
            <w:tcW w:w="1145" w:type="dxa"/>
            <w:vAlign w:val="center"/>
          </w:tcPr>
          <w:p w14:paraId="60F386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9.6</w:t>
            </w:r>
          </w:p>
        </w:tc>
      </w:tr>
      <w:tr w14:paraId="3DAC8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901" w:hRule="atLeast"/>
          <w:jc w:val="center"/>
        </w:trPr>
        <w:tc>
          <w:tcPr>
            <w:tcW w:w="791" w:type="dxa"/>
            <w:vAlign w:val="center"/>
          </w:tcPr>
          <w:p w14:paraId="209FF7E3">
            <w:pPr>
              <w:pStyle w:val="14"/>
              <w:spacing w:before="158" w:line="186" w:lineRule="auto"/>
              <w:ind w:left="312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5DE64F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除锈、喷漆</w:t>
            </w:r>
          </w:p>
        </w:tc>
        <w:tc>
          <w:tcPr>
            <w:tcW w:w="2835" w:type="dxa"/>
            <w:gridSpan w:val="3"/>
            <w:vAlign w:val="center"/>
          </w:tcPr>
          <w:p w14:paraId="389CD83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爬梯脚踏板、书桌柜围脚、衣柜围脚</w:t>
            </w:r>
          </w:p>
        </w:tc>
        <w:tc>
          <w:tcPr>
            <w:tcW w:w="1843" w:type="dxa"/>
          </w:tcPr>
          <w:p w14:paraId="0D7AED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除锈、喷漆</w:t>
            </w:r>
          </w:p>
        </w:tc>
        <w:tc>
          <w:tcPr>
            <w:tcW w:w="992" w:type="dxa"/>
            <w:gridSpan w:val="2"/>
          </w:tcPr>
          <w:p w14:paraId="764757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间</w:t>
            </w:r>
          </w:p>
        </w:tc>
        <w:tc>
          <w:tcPr>
            <w:tcW w:w="1134" w:type="dxa"/>
          </w:tcPr>
          <w:p w14:paraId="362996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825</w:t>
            </w:r>
          </w:p>
        </w:tc>
        <w:tc>
          <w:tcPr>
            <w:tcW w:w="1145" w:type="dxa"/>
          </w:tcPr>
          <w:p w14:paraId="23B837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62</w:t>
            </w:r>
          </w:p>
        </w:tc>
      </w:tr>
    </w:tbl>
    <w:p w14:paraId="56DCB98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28FB93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259D8F9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27B6641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686D2C00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C0277AE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1F878516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3088DDE7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80B03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3BD9BC7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75CFC"/>
    <w:rsid w:val="000D7168"/>
    <w:rsid w:val="000E3D11"/>
    <w:rsid w:val="00174F76"/>
    <w:rsid w:val="001878D7"/>
    <w:rsid w:val="001B2E90"/>
    <w:rsid w:val="0021643C"/>
    <w:rsid w:val="00217A2B"/>
    <w:rsid w:val="00250EB1"/>
    <w:rsid w:val="002F0BFD"/>
    <w:rsid w:val="003353D9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07FF"/>
    <w:rsid w:val="00702913"/>
    <w:rsid w:val="00713B07"/>
    <w:rsid w:val="00756CF0"/>
    <w:rsid w:val="00763D9E"/>
    <w:rsid w:val="00773BB0"/>
    <w:rsid w:val="007771A7"/>
    <w:rsid w:val="0078626B"/>
    <w:rsid w:val="007A0520"/>
    <w:rsid w:val="007A242E"/>
    <w:rsid w:val="007D01B6"/>
    <w:rsid w:val="007F5864"/>
    <w:rsid w:val="00837712"/>
    <w:rsid w:val="008D17F4"/>
    <w:rsid w:val="008E58AE"/>
    <w:rsid w:val="008F1EC4"/>
    <w:rsid w:val="00923263"/>
    <w:rsid w:val="009709CB"/>
    <w:rsid w:val="0097547C"/>
    <w:rsid w:val="009916FF"/>
    <w:rsid w:val="009946A3"/>
    <w:rsid w:val="009C1C19"/>
    <w:rsid w:val="009D1FD8"/>
    <w:rsid w:val="00A025B6"/>
    <w:rsid w:val="00A241B4"/>
    <w:rsid w:val="00A810EE"/>
    <w:rsid w:val="00A95FF6"/>
    <w:rsid w:val="00AE0680"/>
    <w:rsid w:val="00AF0BBE"/>
    <w:rsid w:val="00AF5495"/>
    <w:rsid w:val="00B02035"/>
    <w:rsid w:val="00B34946"/>
    <w:rsid w:val="00B466F5"/>
    <w:rsid w:val="00BA249A"/>
    <w:rsid w:val="00BC0FCA"/>
    <w:rsid w:val="00BD5F38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050963"/>
    <w:rsid w:val="07130514"/>
    <w:rsid w:val="07E01DA1"/>
    <w:rsid w:val="07EA70C4"/>
    <w:rsid w:val="08A9034C"/>
    <w:rsid w:val="08D064FC"/>
    <w:rsid w:val="0C801DA5"/>
    <w:rsid w:val="0C8C4F52"/>
    <w:rsid w:val="10490DF3"/>
    <w:rsid w:val="16D97E36"/>
    <w:rsid w:val="189E45EB"/>
    <w:rsid w:val="1A333055"/>
    <w:rsid w:val="1CFD2714"/>
    <w:rsid w:val="1D5631EF"/>
    <w:rsid w:val="1F6845F8"/>
    <w:rsid w:val="1F7E0B8C"/>
    <w:rsid w:val="20B1619E"/>
    <w:rsid w:val="21415B4F"/>
    <w:rsid w:val="22DB4BD4"/>
    <w:rsid w:val="24125580"/>
    <w:rsid w:val="25B8272D"/>
    <w:rsid w:val="2813004A"/>
    <w:rsid w:val="2A88659C"/>
    <w:rsid w:val="2D925870"/>
    <w:rsid w:val="2EF65CF8"/>
    <w:rsid w:val="2FB607A9"/>
    <w:rsid w:val="309D5489"/>
    <w:rsid w:val="320552C0"/>
    <w:rsid w:val="34543024"/>
    <w:rsid w:val="35843ACB"/>
    <w:rsid w:val="35FD7F2D"/>
    <w:rsid w:val="3A3532F7"/>
    <w:rsid w:val="3BEC2C0B"/>
    <w:rsid w:val="3C303ABA"/>
    <w:rsid w:val="3FA02906"/>
    <w:rsid w:val="40702936"/>
    <w:rsid w:val="41CD47B2"/>
    <w:rsid w:val="432E3C17"/>
    <w:rsid w:val="458606C2"/>
    <w:rsid w:val="47086643"/>
    <w:rsid w:val="47CD163B"/>
    <w:rsid w:val="48C97A79"/>
    <w:rsid w:val="4AF14F7F"/>
    <w:rsid w:val="4B3559BD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80710C1"/>
    <w:rsid w:val="59536077"/>
    <w:rsid w:val="5AC229BE"/>
    <w:rsid w:val="5C854BC5"/>
    <w:rsid w:val="5CE95CAB"/>
    <w:rsid w:val="5DAF116F"/>
    <w:rsid w:val="5E040321"/>
    <w:rsid w:val="5EBD2F7D"/>
    <w:rsid w:val="61F07FA8"/>
    <w:rsid w:val="63614F9F"/>
    <w:rsid w:val="64EA08A9"/>
    <w:rsid w:val="66A11AEE"/>
    <w:rsid w:val="67BA16EA"/>
    <w:rsid w:val="6A4525AA"/>
    <w:rsid w:val="6ABE49A2"/>
    <w:rsid w:val="6D4264FE"/>
    <w:rsid w:val="70724BBB"/>
    <w:rsid w:val="771F4D45"/>
    <w:rsid w:val="784129DA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1091</Words>
  <Characters>1238</Characters>
  <Lines>13</Lines>
  <Paragraphs>3</Paragraphs>
  <TotalTime>8</TotalTime>
  <ScaleCrop>false</ScaleCrop>
  <LinksUpToDate>false</LinksUpToDate>
  <CharactersWithSpaces>1306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2025-07-22T08:16:12Z</dcterms:modified>
  <dc:title>四川理工学院学生公寓椅、凳采购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