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2878"/>
      <w:bookmarkStart w:id="1" w:name="_Toc13822"/>
      <w:bookmarkStart w:id="2" w:name="_Toc7019"/>
      <w:bookmarkStart w:id="3" w:name="_Toc10715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（一）具有良好的商业信誉承诺函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  <w:lang w:val="en-US" w:eastAsia="zh-CN"/>
        </w:rPr>
        <w:t>四川轻化工大学六门双温冰柜采购项目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格式8.</w:t>
      </w:r>
    </w:p>
    <w:p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tbl>
      <w:tblPr>
        <w:tblStyle w:val="7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4"/>
        <w:gridCol w:w="2027"/>
        <w:gridCol w:w="350"/>
        <w:gridCol w:w="400"/>
        <w:gridCol w:w="886"/>
        <w:gridCol w:w="977"/>
        <w:gridCol w:w="553"/>
        <w:gridCol w:w="470"/>
        <w:gridCol w:w="1101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单项限价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使用地点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质保要求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报价总金额（元）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六门双温冰柜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制冷方式：风冷；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容积1420L功率：950W；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全铜管制冷（冷凝器、蒸发器）；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食品级不锈钢加厚材质（≥0.6mm及以上）；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微电脑数控系统（双压缩机、双温双控，温度范围+8℃—-18℃）；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上冷冻下冷藏；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门锁件（两个锁，锁6个门）；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规格：长1800MM*宽750MM*高1980MM（±50mm）；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能效等级：国家二级（含二级）以上。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48000.00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自贡校区汇东食府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质量问题三十天内包退换货，质保一年</w:t>
            </w:r>
          </w:p>
        </w:tc>
        <w:tc>
          <w:tcPr>
            <w:tcW w:w="110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902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①报价不能超过单品控制单价且合计总金额不能超过预算金额4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80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00.00元；②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包含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运输、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人工、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税费等一切费用。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报价单位（加盖鲜章）：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法定代表人或委托代理人（签字）：          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联系方式：          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</w:p>
    <w:p>
      <w:pPr>
        <w:spacing w:after="156"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  日    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17301DE"/>
    <w:rsid w:val="02937F2A"/>
    <w:rsid w:val="04624ACB"/>
    <w:rsid w:val="047D72B5"/>
    <w:rsid w:val="04A940EA"/>
    <w:rsid w:val="064F19A5"/>
    <w:rsid w:val="07E15979"/>
    <w:rsid w:val="08D064FC"/>
    <w:rsid w:val="0C8C4F52"/>
    <w:rsid w:val="1394619B"/>
    <w:rsid w:val="17B307ED"/>
    <w:rsid w:val="17F408B7"/>
    <w:rsid w:val="18065F2A"/>
    <w:rsid w:val="19A9793E"/>
    <w:rsid w:val="1F7E0B8C"/>
    <w:rsid w:val="25984D30"/>
    <w:rsid w:val="291D1A68"/>
    <w:rsid w:val="320552C0"/>
    <w:rsid w:val="3B9C782B"/>
    <w:rsid w:val="3BEC2C0B"/>
    <w:rsid w:val="3C303ABA"/>
    <w:rsid w:val="3C970AB4"/>
    <w:rsid w:val="40FF5BB5"/>
    <w:rsid w:val="41CD47B2"/>
    <w:rsid w:val="4295414B"/>
    <w:rsid w:val="43C64FB7"/>
    <w:rsid w:val="47107C2E"/>
    <w:rsid w:val="495E3DFE"/>
    <w:rsid w:val="49730BF4"/>
    <w:rsid w:val="4AC37123"/>
    <w:rsid w:val="4AF14F7F"/>
    <w:rsid w:val="51761DCF"/>
    <w:rsid w:val="56A80D1D"/>
    <w:rsid w:val="57127460"/>
    <w:rsid w:val="57E06C98"/>
    <w:rsid w:val="5AC93242"/>
    <w:rsid w:val="5EBD2F7D"/>
    <w:rsid w:val="6505673C"/>
    <w:rsid w:val="65A03381"/>
    <w:rsid w:val="6ABE49A2"/>
    <w:rsid w:val="6C9061C9"/>
    <w:rsid w:val="6D7A489C"/>
    <w:rsid w:val="6FB068BA"/>
    <w:rsid w:val="70724BBB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12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2025-05-27T07:56:17Z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