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3822"/>
      <w:bookmarkStart w:id="1" w:name="_Toc24410"/>
      <w:bookmarkStart w:id="2" w:name="_Toc7019"/>
      <w:bookmarkStart w:id="3" w:name="_Toc22878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此处供应商需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具有建筑装饰设计专项乙级及以上资质证明材料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材料提供复印件并加盖公章。并提供以下承诺函：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eastAsia="zh-CN"/>
        </w:rPr>
        <w:t>李白河校区德馨食府三楼教工餐厅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改造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工程设计服务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报价表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8"/>
        <w:gridCol w:w="1282"/>
        <w:gridCol w:w="1145"/>
        <w:gridCol w:w="774"/>
        <w:gridCol w:w="1609"/>
        <w:gridCol w:w="16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报价内容</w:t>
            </w: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数量（计量单位）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价款形式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四川轻化工大学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李白河校区德馨食府三楼教工餐厅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工程设计服务</w:t>
            </w: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1.00（项）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83000.00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总价</w:t>
            </w:r>
          </w:p>
        </w:tc>
        <w:tc>
          <w:tcPr>
            <w:tcW w:w="1609" w:type="dxa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包括完成本项目设计范围内全部工作的所有费用（包含但不限技术设计费、成本、利润、措施、风险、税金，管理政策性规定费用等）。在设计过程中发生的所有调整【包括方案阶段或施工图设计阶段进行的调整（可能进行多轮调整）所产生的设计费、制作效果图、模型、文本等费用】均包含在本合同总价中。</w:t>
            </w:r>
          </w:p>
        </w:tc>
      </w:tr>
    </w:tbl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0F817B0"/>
    <w:rsid w:val="1394619B"/>
    <w:rsid w:val="17B307ED"/>
    <w:rsid w:val="18065F2A"/>
    <w:rsid w:val="19A9793E"/>
    <w:rsid w:val="1F7E0B8C"/>
    <w:rsid w:val="25984D30"/>
    <w:rsid w:val="291D1A68"/>
    <w:rsid w:val="320552C0"/>
    <w:rsid w:val="35071E2C"/>
    <w:rsid w:val="3B9C782B"/>
    <w:rsid w:val="3BEC2C0B"/>
    <w:rsid w:val="3C303ABA"/>
    <w:rsid w:val="3C970AB4"/>
    <w:rsid w:val="40FF5BB5"/>
    <w:rsid w:val="41CD47B2"/>
    <w:rsid w:val="43C64FB7"/>
    <w:rsid w:val="47107C2E"/>
    <w:rsid w:val="49730BF4"/>
    <w:rsid w:val="4AC37123"/>
    <w:rsid w:val="4AF14F7F"/>
    <w:rsid w:val="51761DCF"/>
    <w:rsid w:val="529A04CD"/>
    <w:rsid w:val="56A80D1D"/>
    <w:rsid w:val="57127460"/>
    <w:rsid w:val="57E06C98"/>
    <w:rsid w:val="5EBD2F7D"/>
    <w:rsid w:val="6505673C"/>
    <w:rsid w:val="67F27B4F"/>
    <w:rsid w:val="6ABE49A2"/>
    <w:rsid w:val="6D7A489C"/>
    <w:rsid w:val="70724BBB"/>
    <w:rsid w:val="71E17A59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0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2025-04-27T09:43:58Z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